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山东省本科毕业论文(设计)抽检评议要素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试行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(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第Ⅰ类，适用于01哲学 02经济学 03法学 04教育学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05文学 06历史学 12管理学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90" w:lineRule="atLeast"/>
        <w:ind w:left="0" w:right="0" w:firstLine="0"/>
        <w:jc w:val="left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3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920"/>
        <w:gridCol w:w="62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150" w:beforeAutospacing="0" w:after="0" w:afterAutospacing="0" w:line="360" w:lineRule="atLeast"/>
              <w:ind w:left="12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一级指标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150" w:beforeAutospacing="0" w:after="0" w:afterAutospacing="0" w:line="360" w:lineRule="atLeast"/>
              <w:ind w:left="45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二级指标</w:t>
            </w: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150" w:beforeAutospacing="0" w:after="0" w:afterAutospacing="0" w:line="360" w:lineRule="atLeast"/>
              <w:ind w:left="2490" w:right="0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评议要素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7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选题意义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7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(10)</w:t>
            </w:r>
          </w:p>
        </w:tc>
        <w:tc>
          <w:tcPr>
            <w:tcW w:w="19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5"/>
                <w:sz w:val="24"/>
                <w:szCs w:val="24"/>
                <w:bdr w:val="none" w:color="auto" w:sz="0" w:space="0"/>
              </w:rPr>
              <w:t>价值导向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120" w:right="0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体现立德树人要求，符合党和国家方针政策和法律法规，符合党和国家社会科学与人文科学发展方向，符合社会主义核心价值观。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5"/>
                <w:sz w:val="24"/>
                <w:szCs w:val="24"/>
                <w:bdr w:val="none" w:color="auto" w:sz="0" w:space="0"/>
              </w:rPr>
              <w:t>选题目的与意义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120" w:right="0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专业培养目标，体现综合训练基本要求；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面向所在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专业领域学术问题或行业社会实际问题，有一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定的理论或实用价值。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7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5"/>
                <w:sz w:val="24"/>
                <w:szCs w:val="24"/>
                <w:bdr w:val="none" w:color="auto" w:sz="0" w:space="0"/>
              </w:rPr>
              <w:t>写作安排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(10)</w:t>
            </w:r>
          </w:p>
        </w:tc>
        <w:tc>
          <w:tcPr>
            <w:tcW w:w="19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5"/>
                <w:sz w:val="24"/>
                <w:szCs w:val="24"/>
                <w:bdr w:val="none" w:color="auto" w:sz="0" w:space="0"/>
              </w:rPr>
              <w:t>写作形式</w:t>
            </w: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14" w:lineRule="atLeast"/>
              <w:ind w:left="105" w:right="165" w:firstLine="0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写作形式符合专业特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点和选题需要。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5"/>
                <w:sz w:val="24"/>
                <w:szCs w:val="24"/>
                <w:bdr w:val="none" w:color="auto" w:sz="0" w:space="0"/>
              </w:rPr>
              <w:t>工作量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14" w:lineRule="atLeast"/>
              <w:ind w:left="105" w:right="165" w:firstLine="0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工作量饱满，能反映出学生的综合能力培养过程。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7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逻辑构建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7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(20)</w:t>
            </w:r>
          </w:p>
        </w:tc>
        <w:tc>
          <w:tcPr>
            <w:tcW w:w="19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5"/>
                <w:sz w:val="24"/>
                <w:szCs w:val="24"/>
                <w:bdr w:val="none" w:color="auto" w:sz="0" w:space="0"/>
              </w:rPr>
              <w:t>内容组织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105" w:right="0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30"/>
                <w:sz w:val="24"/>
                <w:szCs w:val="24"/>
                <w:bdr w:val="none" w:color="auto" w:sz="0" w:space="0"/>
              </w:rPr>
              <w:t>核心模块完备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，层次分明，重点突出，详略得当。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5"/>
                <w:sz w:val="24"/>
                <w:szCs w:val="24"/>
                <w:bdr w:val="none" w:color="auto" w:sz="0" w:space="0"/>
              </w:rPr>
              <w:t>逻辑结构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14" w:lineRule="atLeast"/>
              <w:ind w:left="120" w:right="165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概念准确，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理论运用合理，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研究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(设计)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路径合理，论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点鲜明，论据确凿，论证严谨，结论可靠。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7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专业能力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7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(40)</w:t>
            </w:r>
          </w:p>
        </w:tc>
        <w:tc>
          <w:tcPr>
            <w:tcW w:w="19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5"/>
                <w:sz w:val="24"/>
                <w:szCs w:val="24"/>
                <w:bdr w:val="none" w:color="auto" w:sz="0" w:space="0"/>
              </w:rPr>
              <w:t>文献调研能力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14" w:lineRule="atLeast"/>
              <w:ind w:left="135" w:right="30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综合分析国内外文献，追踪本领域研究现状或行业动态，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15"/>
                <w:sz w:val="24"/>
                <w:szCs w:val="24"/>
                <w:bdr w:val="none" w:color="auto" w:sz="0" w:space="0"/>
              </w:rPr>
              <w:t>能支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撑该论文(设计)的选题。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5"/>
                <w:sz w:val="24"/>
                <w:szCs w:val="24"/>
                <w:bdr w:val="none" w:color="auto" w:sz="0" w:space="0"/>
              </w:rPr>
              <w:t>综合应用知识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5"/>
                <w:sz w:val="24"/>
                <w:szCs w:val="24"/>
                <w:bdr w:val="none" w:color="auto" w:sz="0" w:space="0"/>
              </w:rPr>
              <w:t>能力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14" w:lineRule="atLeast"/>
              <w:ind w:left="135" w:right="30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将相关领域的基础理论、专业知识合理应用到研究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(设计)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工作中，能体现所在专业领域的能力和素养。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5"/>
                <w:sz w:val="24"/>
                <w:szCs w:val="24"/>
                <w:bdr w:val="none" w:color="auto" w:sz="0" w:space="0"/>
              </w:rPr>
              <w:t>分析解决问题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5"/>
                <w:sz w:val="24"/>
                <w:szCs w:val="24"/>
                <w:bdr w:val="none" w:color="auto" w:sz="0" w:space="0"/>
              </w:rPr>
              <w:t>能力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14" w:lineRule="atLeast"/>
              <w:ind w:left="120" w:right="180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掌握基础的专业知识和研究方法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，善于发现问题、分析问题，体现出一定的解决本专业领域问题的能力和素养。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5"/>
                <w:sz w:val="24"/>
                <w:szCs w:val="24"/>
                <w:bdr w:val="none" w:color="auto" w:sz="0" w:space="0"/>
              </w:rPr>
              <w:t>创新能力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16" w:lineRule="atLeast"/>
              <w:ind w:left="120" w:right="165" w:firstLine="0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坚持问题导向，观点新颖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，体现出较强的创新意识，或对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实践具有一定指导意义。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7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学术规范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7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(20)</w:t>
            </w:r>
          </w:p>
        </w:tc>
        <w:tc>
          <w:tcPr>
            <w:tcW w:w="19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5"/>
                <w:sz w:val="24"/>
                <w:szCs w:val="24"/>
                <w:bdr w:val="none" w:color="auto" w:sz="0" w:space="0"/>
              </w:rPr>
              <w:t>行文规范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14" w:lineRule="atLeast"/>
              <w:ind w:left="105" w:right="165" w:firstLine="0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文字表达、书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写格式、图表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(图纸)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、公式符号、缩略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词等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方面符合通行学术规范。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5"/>
                <w:sz w:val="24"/>
                <w:szCs w:val="24"/>
                <w:bdr w:val="none" w:color="auto" w:sz="0" w:space="0"/>
              </w:rPr>
              <w:t>引用规范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14" w:lineRule="atLeast"/>
              <w:ind w:left="105" w:right="165" w:firstLine="0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在资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料引证、参考文献等方面符合通行学术规范和知识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产权相关规定。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7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否决性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77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指标</w:t>
            </w:r>
          </w:p>
        </w:tc>
        <w:tc>
          <w:tcPr>
            <w:tcW w:w="19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5"/>
                <w:sz w:val="24"/>
                <w:szCs w:val="24"/>
                <w:bdr w:val="none" w:color="auto" w:sz="0" w:space="0"/>
              </w:rPr>
              <w:t>学术诚信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120" w:right="0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  <w:bdr w:val="none" w:color="auto" w:sz="0" w:space="0"/>
              </w:rPr>
              <w:t>存在抄袭、剽窃、伪造、篡改、买卖、代写等学术不端行为。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20" w:lineRule="atLeast"/>
        <w:ind w:left="0" w:right="0" w:firstLine="0"/>
        <w:jc w:val="left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注：采取百分制评分，根据总分分为“优秀（90≤优秀&lt;100）”、“良好（75≤良好&lt;90）”、“合格（60≤合格&lt;75）”、“不合格（不合格&lt;60）”四个档次。</w:t>
      </w:r>
    </w:p>
    <w:p>
      <w:pPr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br w:type="page"/>
      </w:r>
    </w:p>
    <w:p>
      <w:pPr>
        <w:shd w:val="clear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山东省本科毕业论文(设计)抽检评议要素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试行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第Ⅱ类，适用于 07 理学 08 工学 09 农学 10 医学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tbl>
      <w:tblPr>
        <w:tblW w:w="928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3"/>
        <w:gridCol w:w="1902"/>
        <w:gridCol w:w="62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一级指标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二级指标</w:t>
            </w: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 w:firstLine="2160" w:firstLineChars="9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评议要素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选题意义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(10)</w:t>
            </w:r>
          </w:p>
        </w:tc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价值导向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体现立德树人要求，符合党和国家方针政策和法律法规，符合社会主义核心价值观，顺应国内外科技发展趋势和创新精神。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选题目的与意义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符合专业培养目标，体现综合训练基本要求；面向所在专业领域学术问题或行业社会实际问题，有一定的理论或实用价值。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写作安排(10)</w:t>
            </w:r>
          </w:p>
        </w:tc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写作形式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写作形式符合专业特点和选题需要。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工作量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工作量饱满，能反映出学生的综合能力培养过程。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逻辑构建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(20)</w:t>
            </w:r>
          </w:p>
        </w:tc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内容组织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核心模块完备，层次分明，重点突出，详略得当。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逻辑结构</w:t>
            </w:r>
          </w:p>
        </w:tc>
        <w:tc>
          <w:tcPr>
            <w:tcW w:w="6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研究（设计）路径合理，论点鲜明，论据确凿，论证充分，达到所在专业领域要求。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专业能力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(40)</w:t>
            </w:r>
          </w:p>
        </w:tc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文献调研能力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综合分析国内外文献， 追踪本领域研究现状或行业动态， 关注学科及本领域前沿，能支撑该论文(设计)的选题。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综合应用知识 能力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将相关领域的基础理论、专业知识合理应用到研究（设计）工作中， 能体现所在专业领域的能力和素养。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分析解决问题 能力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运用专业知识，采取恰当的研究（设计）方法、路径开展研究（设计），善于发现问题、分析问题，具备解决实际问题的能力和素养。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创新能力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观点新颖，体现出较强的创新意识，或对实践具有一定指导意义。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学术规范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(20)</w:t>
            </w:r>
          </w:p>
        </w:tc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行文规范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19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文字表达、书写格式、图表(图纸)、公式符号、缩略 词等方面符合通行学术规范。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引用规范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19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在资料引证、参考文献等方面符合通行学术规范和知识 产权相关规定。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否决性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指标</w:t>
            </w:r>
          </w:p>
        </w:tc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学术诚信</w:t>
            </w:r>
          </w:p>
        </w:tc>
        <w:tc>
          <w:tcPr>
            <w:tcW w:w="6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存在抄袭、剽窃、伪造、篡改、买卖、代写等学术不端行为。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注：采取百分制评分，根据总分分为“优秀（90≤优秀&lt;100）”、“良好（75≤良好&lt;90）”、“合格（60≤合格&lt;75）”、“不合格（不合格&lt;60）”四个档次。</w:t>
      </w:r>
    </w:p>
    <w:p>
      <w:pPr>
        <w:shd w:val="clear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山东省本科毕业论文(设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36"/>
          <w:szCs w:val="36"/>
        </w:rPr>
        <w:t>计)抽检评议要素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试行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(第Ⅲ类，适用于 13 艺术学)</w:t>
      </w:r>
    </w:p>
    <w:tbl>
      <w:tblPr>
        <w:tblW w:w="910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8"/>
        <w:gridCol w:w="1947"/>
        <w:gridCol w:w="60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一级指标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二级指标</w:t>
            </w:r>
          </w:p>
        </w:tc>
        <w:tc>
          <w:tcPr>
            <w:tcW w:w="6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 w:firstLine="1920" w:firstLineChars="8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评议要素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选题意义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(10)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价值导向</w:t>
            </w:r>
          </w:p>
        </w:tc>
        <w:tc>
          <w:tcPr>
            <w:tcW w:w="6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体现立德树人要求，符合党和国家方针政策和法律法规，符合社会主义核心价值观，符合我国社会主义精神文明建设和文化事业发展要求。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选题目的与意义</w:t>
            </w:r>
          </w:p>
        </w:tc>
        <w:tc>
          <w:tcPr>
            <w:tcW w:w="6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选题与艺术创作和实践紧密相连，符合艺术学各专业培养目标，体现综合训练基本要求；面向所在专业领域学术问题或行业社会实际问题，有一定的理论或应用参考价值。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1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写作安排(10)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写作形式</w:t>
            </w:r>
          </w:p>
        </w:tc>
        <w:tc>
          <w:tcPr>
            <w:tcW w:w="6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写作形式符合专业特点和选题需要。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工作量</w:t>
            </w:r>
          </w:p>
        </w:tc>
        <w:tc>
          <w:tcPr>
            <w:tcW w:w="6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工作量饱满，能反映出学生的综合能力培养过程。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1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逻辑构建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(20)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内容组织</w:t>
            </w:r>
          </w:p>
        </w:tc>
        <w:tc>
          <w:tcPr>
            <w:tcW w:w="6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核心模块完备，层次分明，重点突出，详略得当。鼓励结合自己的毕业创作(作品)进行写作。毕业设计内容有一定的实践可操作性、艺术性与思想深度。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逻辑结构</w:t>
            </w:r>
          </w:p>
        </w:tc>
        <w:tc>
          <w:tcPr>
            <w:tcW w:w="6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概念准确，理论运用合理，论点鲜明，论据确凿，论证严谨，结论可靠。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专业能力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(40)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文献调研能力</w:t>
            </w:r>
          </w:p>
        </w:tc>
        <w:tc>
          <w:tcPr>
            <w:tcW w:w="6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具有一定的文献资料查阅、整理、分析能力，追踪本领域研究现状或行业动态，能支撑该论文(设计)的选题。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综合应用知识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能力</w:t>
            </w:r>
          </w:p>
        </w:tc>
        <w:tc>
          <w:tcPr>
            <w:tcW w:w="6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将相关领域的基础理论、专业知识合理应用到毕业设计（创作）工作中，能体现所在专业领域的能力和素养。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1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分析解决问题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能力</w:t>
            </w:r>
          </w:p>
        </w:tc>
        <w:tc>
          <w:tcPr>
            <w:tcW w:w="6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掌握基础的专业知识和研究方法，进行理论研究（艺术创作与实践），善于发现问题、分析问题，体现出一定的解决本专业领域问题的能力和水平。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创新能力</w:t>
            </w:r>
          </w:p>
        </w:tc>
        <w:tc>
          <w:tcPr>
            <w:tcW w:w="6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体现作者的独立思考，内容有一定的特色或新意，或对实践具有一定指导意义。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10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学术规范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(20)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行文规范</w:t>
            </w:r>
          </w:p>
        </w:tc>
        <w:tc>
          <w:tcPr>
            <w:tcW w:w="6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文字表达、书写格式、图表(图纸)、公式符号、缩略词等方面符合通行学术规范。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引用规范</w:t>
            </w:r>
          </w:p>
        </w:tc>
        <w:tc>
          <w:tcPr>
            <w:tcW w:w="6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在资料引证、参考文献等方面符合通行学术规范和知识产权相关规定。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否决性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指标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学术诚信</w:t>
            </w:r>
          </w:p>
        </w:tc>
        <w:tc>
          <w:tcPr>
            <w:tcW w:w="6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12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sz w:val="24"/>
                <w:szCs w:val="24"/>
              </w:rPr>
              <w:t>存在抄袭、剽窃、伪造、篡改、买卖、代写等学术不端行为。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注：采取百分制评分，根据总分分为“优秀（90≤优秀&lt;100）”、“良好（75≤良好&lt;90）”、“合格（60≤合格&lt;75）”、“不合格（不合格&lt;60）”四个档次。</w:t>
      </w:r>
    </w:p>
    <w:p>
      <w:pPr>
        <w:shd w:val="clear"/>
        <w:rPr>
          <w:rFonts w:hint="eastAsia" w:ascii="Times New Roman" w:hAnsi="Times New Roman" w:eastAsia="仿宋_GB2312" w:cs="仿宋_GB231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mUwMmJjZjNlYzhiMmJlM2RmMjUyN2I5ZGJiNDMifQ=="/>
  </w:docVars>
  <w:rsids>
    <w:rsidRoot w:val="00000000"/>
    <w:rsid w:val="0EB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0</TotalTime>
  <ScaleCrop>false</ScaleCrop>
  <LinksUpToDate>false</LinksUpToDate>
  <CharactersWithSpaces>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2022-09-01T05:20:41Z</dcterms:created>
  <dc:creator>Administrator</dc:creator>
  <cp:lastModifiedBy>Lin</cp:lastModifiedBy>
  <dcterms:modified xsi:type="dcterms:W3CDTF">2022-09-01T05:28:00Z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EE66CCC49A2745BDAB9CA23C7C016D99</vt:lpwstr>
  </property>
</Properties>
</file>